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7976" w:rsidRPr="007E7976" w:rsidRDefault="007E7976" w:rsidP="007E7976">
      <w:pPr>
        <w:rPr>
          <w:rFonts w:cs="Times New Roman"/>
          <w:b/>
          <w:sz w:val="40"/>
          <w:szCs w:val="24"/>
          <w:lang w:val="ru-RU"/>
        </w:rPr>
      </w:pPr>
      <w:r w:rsidRPr="007E7976">
        <w:rPr>
          <w:rFonts w:cs="Times New Roman"/>
          <w:b/>
          <w:sz w:val="40"/>
          <w:szCs w:val="24"/>
          <w:lang w:val="ru-RU"/>
        </w:rPr>
        <w:t>Дальнейшее успешное развитие концепции мобильной установки: смесительная установка для холодного ресайклинга Wirtgen KMA 220i с повышенной производительностью</w:t>
      </w:r>
    </w:p>
    <w:p w:rsidR="007E7976" w:rsidRPr="007E7976" w:rsidRDefault="007E7976" w:rsidP="007E7976">
      <w:pPr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b/>
          <w:szCs w:val="24"/>
          <w:lang w:val="ru-RU"/>
        </w:rPr>
        <w:t xml:space="preserve">В KMA 220i воплощены ноу-хау и накопленный десятилетиями опыт Wirtgen GmbH в области холодного ресайклинга. Инженеры-первооткрыватели исследуют эту экологичную технологию с 1980-х гг. На сегодняшний день ассортимент из 9 машин и установок для выполнения холодного ресайклинга на месте или в заводских условиях обеспечивает Wirtgen лидерские позиции на мировом рынке. В ассортимент входят колесные и гусеничные ресайклеры, а также установка для приготовления цементно-водной суспензии и лабораторная установка WLB 10 S. </w:t>
      </w:r>
      <w:r w:rsidRPr="00480533">
        <w:rPr>
          <w:rFonts w:cs="Times New Roman"/>
          <w:b/>
          <w:szCs w:val="24"/>
          <w:lang w:val="ru-RU"/>
        </w:rPr>
        <w:t>На выставке bauma 2016 состоится премьера KMA 220i – новейшей модели Wirtgen из ряда смесительных установок для холодного ресайклинга.</w:t>
      </w:r>
    </w:p>
    <w:p w:rsidR="007E7976" w:rsidRPr="007E7976" w:rsidRDefault="007E7976" w:rsidP="007E7976">
      <w:pPr>
        <w:jc w:val="both"/>
        <w:rPr>
          <w:rFonts w:cs="Times New Roman"/>
          <w:b/>
          <w:szCs w:val="24"/>
          <w:lang w:val="ru-RU"/>
        </w:rPr>
      </w:pPr>
    </w:p>
    <w:p w:rsidR="007E7976" w:rsidRPr="007E7976" w:rsidRDefault="007E7976" w:rsidP="007E7976">
      <w:pPr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b/>
          <w:szCs w:val="24"/>
          <w:lang w:val="ru-RU"/>
        </w:rPr>
        <w:t>Прибыльное повторное использование и переработка материала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>Мощная установка KMA 220 впечатляет высокой производительностью, достигающей 220 тонн высококачественной холодной смеси в час, а также разнообразием сфер применения. При этом ее производительность значительно превышает показатели многих даже крупных стационарных установок.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>Концепция мобильной установки обеспечивает простоту монтажа и энергосберегающее производство смеси вблизи от строительного объекта. KMA</w:t>
      </w:r>
      <w:r w:rsidR="0070228C">
        <w:rPr>
          <w:rFonts w:cs="Times New Roman"/>
          <w:szCs w:val="24"/>
        </w:rPr>
        <w:t> </w:t>
      </w:r>
      <w:r w:rsidRPr="007E7976">
        <w:rPr>
          <w:rFonts w:cs="Times New Roman"/>
          <w:szCs w:val="24"/>
          <w:lang w:val="ru-RU"/>
        </w:rPr>
        <w:t>220i экологична во всех аспектах: до минимума сокращается количество затратных по времени ходок грузового автомобиля между местом производства смеси и строительной площадкой. Это, конечно же, весьма выгодно с точки зрения затрат на топливо. Кроме того, сырье для производства смеси не нужно ни высушивать, ни нагревать. Это означает снижение выброса CO</w:t>
      </w:r>
      <w:r w:rsidRPr="007E7976">
        <w:rPr>
          <w:rFonts w:cs="Times New Roman"/>
          <w:sz w:val="12"/>
          <w:szCs w:val="24"/>
          <w:lang w:val="ru-RU"/>
        </w:rPr>
        <w:t>2</w:t>
      </w:r>
      <w:r w:rsidRPr="007E7976">
        <w:rPr>
          <w:rFonts w:cs="Times New Roman"/>
          <w:szCs w:val="24"/>
          <w:lang w:val="ru-RU"/>
        </w:rPr>
        <w:t>. Учитывая рост цен на сырье и энергоносители, последовательное и полное вторичное использование материала снятого дорожного покрытия, а также бережная к ресурсам и экономически эффективная переработка материалов приобретают все большую актуальность. Проверенная функциональность KMA 220i предоставляет строительным организациям привлекательную возможность успешно раскрыть потенциал этой сферы деятельности.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b/>
          <w:szCs w:val="24"/>
          <w:lang w:val="ru-RU"/>
        </w:rPr>
        <w:t>Выдающаяся производительность смешивания 220 т/ч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>Компактная мобильная установка оснащена мощным шестицилиндровым дизельным двигателем мощностью 1</w:t>
      </w:r>
      <w:r w:rsidR="00480533" w:rsidRPr="00480533">
        <w:rPr>
          <w:rFonts w:cs="Times New Roman"/>
          <w:szCs w:val="24"/>
          <w:lang w:val="ru-RU"/>
        </w:rPr>
        <w:t>29</w:t>
      </w:r>
      <w:r w:rsidRPr="007E7976">
        <w:rPr>
          <w:rFonts w:cs="Times New Roman"/>
          <w:szCs w:val="24"/>
          <w:lang w:val="ru-RU"/>
        </w:rPr>
        <w:t> кВт, обеспечивающим соответствующую производительность при выработке смеси. Например, при производительности 200 т/ч каждые 6 минут можно загружать полный кузов грузового автомобиля, т.е. 20 т смеси для холодного ресайклинга. Непрерывное производство обеспечивает надежное обеспечение материалом даже при работе больших укладчиков. Собственный силовой агрегат делает KMA независимой от внешних источников энергии. Двигатель находится в звукоизолированном корпусе, снижающем вредную эмиссию, а за пределами основного времени его можно переключить в экономный режим Eco. Низкие показатели эмиссии позволяют эксплуатировать установку в городской черте.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 xml:space="preserve">Высокая дневная производительность KMA характеризуется стабильно высоким качеством смеси: двухосный смеситель непрерывного принудительного действия с износостойкими смесительными рычагами и регулируемыми смесительными лотками из специального закаленного литья гарантируют равномерное смешивание всех строительных материалов. 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>KMA 220i может производить смеси как партиями, так и в непрерывном режиме: поворотный разгрузочный конвейер подает смесь либо непосредственно в грузовые автомобили, либо в отвал. Благодаря длительному сроку хранения смесь со вспененным битумом особенно пригодна для производства в отвал.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b/>
          <w:szCs w:val="24"/>
          <w:lang w:val="ru-RU"/>
        </w:rPr>
        <w:t>Простота транспортировки, быстрый монтаж: выигрыш по времени и</w:t>
      </w:r>
      <w:r w:rsidR="0070228C">
        <w:rPr>
          <w:rFonts w:cs="Times New Roman"/>
          <w:b/>
          <w:szCs w:val="24"/>
        </w:rPr>
        <w:t> </w:t>
      </w:r>
      <w:r w:rsidRPr="007E7976">
        <w:rPr>
          <w:rFonts w:cs="Times New Roman"/>
          <w:b/>
          <w:szCs w:val="24"/>
          <w:lang w:val="ru-RU"/>
        </w:rPr>
        <w:t>затратам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>Удобные транспортировочные размеры 13,40 м в длину (или 14,71 м в длину с</w:t>
      </w:r>
      <w:r w:rsidR="0070228C">
        <w:rPr>
          <w:rFonts w:cs="Times New Roman"/>
          <w:szCs w:val="24"/>
        </w:rPr>
        <w:t> </w:t>
      </w:r>
      <w:r w:rsidRPr="007E7976">
        <w:rPr>
          <w:rFonts w:cs="Times New Roman"/>
          <w:szCs w:val="24"/>
          <w:lang w:val="ru-RU"/>
        </w:rPr>
        <w:t xml:space="preserve">кабиной), 2,50 м в ширину и 4 м в высоту и малый общий вес ок. </w:t>
      </w:r>
      <w:r w:rsidR="00480533" w:rsidRPr="00480533">
        <w:rPr>
          <w:rFonts w:cs="Times New Roman"/>
          <w:szCs w:val="24"/>
          <w:lang w:val="ru-RU"/>
        </w:rPr>
        <w:t>29</w:t>
      </w:r>
      <w:r w:rsidRPr="007E7976">
        <w:rPr>
          <w:rFonts w:cs="Times New Roman"/>
          <w:szCs w:val="24"/>
          <w:lang w:val="ru-RU"/>
        </w:rPr>
        <w:t> </w:t>
      </w:r>
      <w:r w:rsidR="00480533" w:rsidRPr="00480533">
        <w:rPr>
          <w:rFonts w:cs="Times New Roman"/>
          <w:szCs w:val="24"/>
          <w:lang w:val="ru-RU"/>
        </w:rPr>
        <w:t>95</w:t>
      </w:r>
      <w:r w:rsidRPr="007E7976">
        <w:rPr>
          <w:rFonts w:cs="Times New Roman"/>
          <w:szCs w:val="24"/>
          <w:lang w:val="ru-RU"/>
        </w:rPr>
        <w:t>0 кг позволяют без проблем перемещать KMA 220i между рабочими площадками. Специальных разрешений брать не нужно, т.к. транспортировочные размеры соответствуют международным нормативам дорожного движения. Вся</w:t>
      </w:r>
      <w:r w:rsidR="0070228C">
        <w:rPr>
          <w:rFonts w:cs="Times New Roman"/>
          <w:szCs w:val="24"/>
        </w:rPr>
        <w:t> </w:t>
      </w:r>
      <w:r w:rsidRPr="007E7976">
        <w:rPr>
          <w:rFonts w:cs="Times New Roman"/>
          <w:szCs w:val="24"/>
          <w:lang w:val="ru-RU"/>
        </w:rPr>
        <w:t>смесительная установка монтирована на один низкорамный полуприцеп. Транспортировка установки осуществляется стандартным тягачом, все</w:t>
      </w:r>
      <w:r w:rsidR="00C213A4">
        <w:rPr>
          <w:rFonts w:cs="Times New Roman"/>
          <w:szCs w:val="24"/>
        </w:rPr>
        <w:t> </w:t>
      </w:r>
      <w:r w:rsidRPr="007E7976">
        <w:rPr>
          <w:rFonts w:cs="Times New Roman"/>
          <w:szCs w:val="24"/>
          <w:lang w:val="ru-RU"/>
        </w:rPr>
        <w:t>подключения стандартные. Перед тем как прицеплять установку к тягачу, необходимо всего лишь свернуть цементоподающий шнек, разгрузочный конвейер и кабину оператора.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 xml:space="preserve">Для надежного монтажа установки фундамент обустраивать не нужно. Стабильные передние телескопические опоры выдвигаются вручную. Под водяным баком и между осями находятся гидравлически выдвигаемые </w:t>
      </w:r>
      <w:r w:rsidRPr="007E7976">
        <w:rPr>
          <w:rFonts w:cs="Times New Roman"/>
          <w:szCs w:val="24"/>
          <w:lang w:val="ru-RU"/>
        </w:rPr>
        <w:lastRenderedPageBreak/>
        <w:t>телескопические опоры, принимающие на себя вес машины. Кабина оператора, цементоподающий шнек и разгрузочный конвейер позиционируются при помощи гидравлики одним нажатием кнопки. Продуманная концепция монтажа и транспортировки высокомобильной смесительной установки для холодного ресайклинга экономит оператору время и деньги, например, за счет сокращения персонала, необходимого для монтажа установки.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b/>
          <w:szCs w:val="24"/>
          <w:lang w:val="ru-RU"/>
        </w:rPr>
        <w:t>Все опции для различных вариантов смеси: исчерпывающий спектр применения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 xml:space="preserve">Явное преимущество KMA состоит в универсальности, позволяющей перерабатывать различные несвязанные строительные материалы: при добавлении </w:t>
      </w:r>
      <w:r w:rsidR="00C213A4" w:rsidRPr="007E7976">
        <w:rPr>
          <w:rFonts w:cs="Times New Roman"/>
          <w:szCs w:val="24"/>
          <w:lang w:val="ru-RU"/>
        </w:rPr>
        <w:t xml:space="preserve">вяжущего </w:t>
      </w:r>
      <w:r w:rsidRPr="007E7976">
        <w:rPr>
          <w:rFonts w:cs="Times New Roman"/>
          <w:szCs w:val="24"/>
          <w:lang w:val="ru-RU"/>
        </w:rPr>
        <w:t>к самым разнообразным новым фракционированным смесям и/или снятым вторичным строительным материалам создаются высококачественные холодные смеси. В качестве материала для ресайклинга может использоваться асфальтогранулят и все материалы дорожной одежды.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 xml:space="preserve">В отношении </w:t>
      </w:r>
      <w:r w:rsidR="00C213A4" w:rsidRPr="007E7976">
        <w:rPr>
          <w:rFonts w:cs="Times New Roman"/>
          <w:szCs w:val="24"/>
          <w:lang w:val="ru-RU"/>
        </w:rPr>
        <w:t xml:space="preserve">вяжущего </w:t>
      </w:r>
      <w:r w:rsidRPr="007E7976">
        <w:rPr>
          <w:rFonts w:cs="Times New Roman"/>
          <w:szCs w:val="24"/>
          <w:lang w:val="ru-RU"/>
        </w:rPr>
        <w:t xml:space="preserve">KMA также обеспечивает разнообразные возможности: мобильная установка перерабатывает имеющийся материал с цементом, эмульсией или даже вспененным битумом с добавлением воды в холодную смесь для связанного слоя основания. Кроме того, возможны варианты смеси с цементом и эмульсией или цементом и вспененным битумом. Рецептура </w:t>
      </w:r>
      <w:r w:rsidR="00C213A4" w:rsidRPr="007E7976">
        <w:rPr>
          <w:rFonts w:cs="Times New Roman"/>
          <w:szCs w:val="24"/>
          <w:lang w:val="ru-RU"/>
        </w:rPr>
        <w:t xml:space="preserve">вяжущего </w:t>
      </w:r>
      <w:r w:rsidRPr="007E7976">
        <w:rPr>
          <w:rFonts w:cs="Times New Roman"/>
          <w:szCs w:val="24"/>
          <w:lang w:val="ru-RU"/>
        </w:rPr>
        <w:t>и заполнителей разрабатывается в рамках предварительных исследований в лаборатории. При этом особую экономию обеспечивает применение инновационного вспененного битума благодаря крайне малому количеству добавляемого материала. Высокоточное взвешивание и дозирование вяжущего выполняется при помощи тензодатчиков под управлением микропроцессора.</w:t>
      </w: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jc w:val="both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t xml:space="preserve">Холодные смеси, производимые KMA 220i, идеально подходят для </w:t>
      </w:r>
      <w:r w:rsidR="00C213A4" w:rsidRPr="007E7976">
        <w:rPr>
          <w:rFonts w:cs="Times New Roman"/>
          <w:szCs w:val="24"/>
          <w:lang w:val="ru-RU"/>
        </w:rPr>
        <w:t>авто</w:t>
      </w:r>
      <w:r w:rsidR="00C213A4">
        <w:rPr>
          <w:rFonts w:cs="Times New Roman"/>
          <w:szCs w:val="24"/>
          <w:lang w:val="ru-RU"/>
        </w:rPr>
        <w:t>страд</w:t>
      </w:r>
      <w:r w:rsidRPr="007E7976">
        <w:rPr>
          <w:rFonts w:cs="Times New Roman"/>
          <w:szCs w:val="24"/>
          <w:lang w:val="ru-RU"/>
        </w:rPr>
        <w:t>, для строительства несущих слоев в сложных условиях, а также для парковок и стоянок в промышленных районах. Для дорожных полотен, подвергающихся высоким нагрузкам, в качестве вяжущего применяются цемент, битумная эмульсия и вспененный битум. При помощи цемента производятся гидравлически связанные несущие слои. На основе битумной эмульсии и цемента создаются связанные битумом / гидравлически связанные несущие слои. Вспененный битум и цемент позволяют с высокой гибкостью создавать стабильный слой основания.</w:t>
      </w:r>
    </w:p>
    <w:p w:rsidR="007E7976" w:rsidRPr="007E7976" w:rsidRDefault="007E7976" w:rsidP="007E7976">
      <w:pPr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rPr>
          <w:rFonts w:cs="Times New Roman"/>
          <w:szCs w:val="24"/>
          <w:lang w:val="ru-RU"/>
        </w:rPr>
      </w:pPr>
    </w:p>
    <w:p w:rsidR="007E7976" w:rsidRPr="007E7976" w:rsidRDefault="007E7976" w:rsidP="007E7976">
      <w:pPr>
        <w:spacing w:line="240" w:lineRule="auto"/>
        <w:contextualSpacing w:val="0"/>
        <w:rPr>
          <w:rFonts w:cs="Times New Roman"/>
          <w:b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br w:type="page"/>
      </w:r>
    </w:p>
    <w:p w:rsidR="007E7976" w:rsidRPr="007E7976" w:rsidRDefault="007E7976" w:rsidP="007E7976">
      <w:pPr>
        <w:pStyle w:val="Subtitel-Unterstrichen1"/>
        <w:rPr>
          <w:rFonts w:cs="Times New Roman"/>
          <w:szCs w:val="24"/>
          <w:lang w:val="ru-RU"/>
        </w:rPr>
      </w:pPr>
      <w:r w:rsidRPr="007E7976">
        <w:rPr>
          <w:rFonts w:cs="Times New Roman"/>
          <w:szCs w:val="24"/>
          <w:lang w:val="ru-RU"/>
        </w:rPr>
        <w:lastRenderedPageBreak/>
        <w:t>Фотографии:</w:t>
      </w:r>
    </w:p>
    <w:p w:rsidR="007E7976" w:rsidRPr="007E7976" w:rsidRDefault="007E7976" w:rsidP="007E7976">
      <w:pPr>
        <w:rPr>
          <w:rFonts w:cs="Times New Roman"/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7E7976" w:rsidRPr="00480533" w:rsidTr="006B02F4">
        <w:tc>
          <w:tcPr>
            <w:tcW w:w="4824" w:type="dxa"/>
            <w:vAlign w:val="center"/>
          </w:tcPr>
          <w:p w:rsidR="007E7976" w:rsidRPr="007E7976" w:rsidRDefault="007E7976" w:rsidP="006B02F4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7E7976">
              <w:rPr>
                <w:rFonts w:cs="Times New Roman"/>
                <w:noProof/>
                <w:sz w:val="20"/>
                <w:szCs w:val="24"/>
                <w:lang w:eastAsia="de-DE"/>
              </w:rPr>
              <w:drawing>
                <wp:inline distT="0" distB="0" distL="0" distR="0" wp14:anchorId="284AC1C5" wp14:editId="56F859CA">
                  <wp:extent cx="2671445" cy="1777365"/>
                  <wp:effectExtent l="0" t="0" r="0" b="0"/>
                  <wp:docPr id="4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445" cy="1777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7E7976" w:rsidRPr="007E7976" w:rsidRDefault="007E7976" w:rsidP="006B02F4">
            <w:pPr>
              <w:pStyle w:val="Subtitel1"/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7E7976">
              <w:rPr>
                <w:rFonts w:cs="Times New Roman"/>
                <w:sz w:val="20"/>
                <w:szCs w:val="24"/>
                <w:lang w:val="ru-RU"/>
              </w:rPr>
              <w:t>KMA220_00474_HI</w:t>
            </w:r>
          </w:p>
          <w:p w:rsidR="007E7976" w:rsidRPr="007E7976" w:rsidRDefault="007E7976" w:rsidP="006B02F4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</w:p>
          <w:p w:rsidR="007E7976" w:rsidRPr="007E7976" w:rsidRDefault="007E7976" w:rsidP="00C213A4">
            <w:pPr>
              <w:spacing w:line="240" w:lineRule="auto"/>
              <w:rPr>
                <w:rFonts w:cs="Times New Roman"/>
                <w:sz w:val="20"/>
                <w:szCs w:val="24"/>
                <w:lang w:val="ru-RU"/>
              </w:rPr>
            </w:pPr>
            <w:r w:rsidRPr="007E7976">
              <w:rPr>
                <w:rFonts w:cs="Times New Roman"/>
                <w:sz w:val="20"/>
                <w:szCs w:val="24"/>
                <w:lang w:val="ru-RU"/>
              </w:rPr>
              <w:t>Компактная «упаковка» до следующего применения: все компоненты установки KMA 220i вмещаются в низкорамный полуприцеп, и никакие прочие компоненты не нуждаются в отдельном демонтаже и нспортировке.</w:t>
            </w:r>
          </w:p>
        </w:tc>
      </w:tr>
    </w:tbl>
    <w:p w:rsidR="007E7976" w:rsidRPr="007E7976" w:rsidRDefault="007E7976" w:rsidP="007E7976">
      <w:pPr>
        <w:rPr>
          <w:rFonts w:cs="Times New Roman"/>
          <w:szCs w:val="24"/>
          <w:lang w:val="ru-RU"/>
        </w:rPr>
      </w:pPr>
    </w:p>
    <w:tbl>
      <w:tblPr>
        <w:tblW w:w="9639" w:type="dxa"/>
        <w:tblBorders>
          <w:insideV w:val="single" w:sz="2" w:space="0" w:color="auto"/>
        </w:tblBorders>
        <w:tblLayout w:type="fixed"/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4824"/>
        <w:gridCol w:w="4815"/>
      </w:tblGrid>
      <w:tr w:rsidR="007E7976" w:rsidRPr="00480533" w:rsidTr="006B02F4">
        <w:tc>
          <w:tcPr>
            <w:tcW w:w="4824" w:type="dxa"/>
            <w:vAlign w:val="center"/>
          </w:tcPr>
          <w:p w:rsidR="007E7976" w:rsidRPr="007E7976" w:rsidRDefault="007E7976" w:rsidP="006B02F4">
            <w:pPr>
              <w:rPr>
                <w:rFonts w:cs="Times New Roman"/>
                <w:szCs w:val="24"/>
                <w:lang w:val="ru-RU"/>
              </w:rPr>
            </w:pPr>
            <w:r w:rsidRPr="007E7976">
              <w:rPr>
                <w:rFonts w:cs="Times New Roman"/>
                <w:noProof/>
                <w:szCs w:val="24"/>
                <w:lang w:eastAsia="de-DE"/>
              </w:rPr>
              <w:drawing>
                <wp:inline distT="0" distB="0" distL="0" distR="0" wp14:anchorId="10996F34" wp14:editId="694BE90B">
                  <wp:extent cx="2671445" cy="1767205"/>
                  <wp:effectExtent l="0" t="0" r="0" b="4445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1445" cy="1767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  <w:vAlign w:val="center"/>
          </w:tcPr>
          <w:p w:rsidR="007E7976" w:rsidRPr="007E7976" w:rsidRDefault="007E7976" w:rsidP="006B02F4">
            <w:pPr>
              <w:rPr>
                <w:rFonts w:cs="Times New Roman"/>
                <w:b/>
                <w:szCs w:val="24"/>
                <w:lang w:val="ru-RU"/>
              </w:rPr>
            </w:pPr>
            <w:r w:rsidRPr="007E7976">
              <w:rPr>
                <w:rFonts w:cs="Times New Roman"/>
                <w:b/>
                <w:szCs w:val="24"/>
                <w:lang w:val="ru-RU"/>
              </w:rPr>
              <w:t>KMA220_00485_HI</w:t>
            </w:r>
          </w:p>
          <w:p w:rsidR="007E7976" w:rsidRPr="007E7976" w:rsidRDefault="007E7976" w:rsidP="006B02F4">
            <w:pPr>
              <w:rPr>
                <w:rFonts w:cs="Times New Roman"/>
                <w:szCs w:val="24"/>
                <w:lang w:val="ru-RU"/>
              </w:rPr>
            </w:pPr>
          </w:p>
          <w:p w:rsidR="007E7976" w:rsidRPr="00C213A4" w:rsidRDefault="007E7976" w:rsidP="006B02F4">
            <w:pPr>
              <w:rPr>
                <w:rFonts w:cs="Times New Roman"/>
                <w:sz w:val="20"/>
                <w:szCs w:val="20"/>
                <w:lang w:val="ru-RU"/>
              </w:rPr>
            </w:pPr>
            <w:r w:rsidRPr="00C213A4">
              <w:rPr>
                <w:rFonts w:cs="Times New Roman"/>
                <w:sz w:val="20"/>
                <w:szCs w:val="20"/>
                <w:lang w:val="ru-RU"/>
              </w:rPr>
              <w:t>Множество сфер применения мобильной смесительной установки: KMA 220i гибко подстраивается под местные условия и не занимает много места.</w:t>
            </w:r>
          </w:p>
        </w:tc>
      </w:tr>
    </w:tbl>
    <w:p w:rsidR="00381C3F" w:rsidRPr="007E7976" w:rsidRDefault="00381C3F" w:rsidP="00953352">
      <w:pPr>
        <w:pStyle w:val="Subtitel-Unterstrichen2"/>
        <w:rPr>
          <w:lang w:val="ru-RU"/>
        </w:rPr>
      </w:pPr>
      <w:bookmarkStart w:id="0" w:name="_GoBack"/>
      <w:bookmarkEnd w:id="0"/>
    </w:p>
    <w:p w:rsidR="008E22B7" w:rsidRPr="007E7976" w:rsidRDefault="008E22B7" w:rsidP="00953352">
      <w:pPr>
        <w:pStyle w:val="Subtitel-Unterstrichen2"/>
        <w:rPr>
          <w:highlight w:val="yellow"/>
          <w:lang w:val="ru-RU"/>
        </w:rPr>
      </w:pPr>
    </w:p>
    <w:p w:rsidR="00480533" w:rsidRPr="00480533" w:rsidRDefault="00480533" w:rsidP="00480533">
      <w:pPr>
        <w:pBdr>
          <w:bottom w:val="single" w:sz="6" w:space="1" w:color="auto"/>
        </w:pBdr>
        <w:rPr>
          <w:rFonts w:eastAsia="Times New Roman" w:cs="Arial"/>
          <w:b/>
          <w:snapToGrid w:val="0"/>
          <w:lang w:val="ru-RU" w:eastAsia="de-DE"/>
        </w:rPr>
      </w:pPr>
      <w:r w:rsidRPr="00480533">
        <w:rPr>
          <w:rFonts w:eastAsia="Times New Roman" w:cs="Arial"/>
          <w:b/>
          <w:snapToGrid w:val="0"/>
          <w:lang w:val="ru-RU" w:eastAsia="de-DE"/>
        </w:rPr>
        <w:t>Более подробную информацию можно получить у:</w:t>
      </w:r>
    </w:p>
    <w:p w:rsidR="00480533" w:rsidRPr="00480533" w:rsidRDefault="00480533" w:rsidP="00480533">
      <w:pPr>
        <w:rPr>
          <w:rFonts w:eastAsia="Times New Roman" w:cs="Arial"/>
          <w:snapToGrid w:val="0"/>
          <w:lang w:val="ru-RU" w:eastAsia="de-DE"/>
        </w:rPr>
      </w:pPr>
    </w:p>
    <w:p w:rsidR="00480533" w:rsidRPr="00480533" w:rsidRDefault="00480533" w:rsidP="00480533">
      <w:pPr>
        <w:rPr>
          <w:rFonts w:eastAsia="Times New Roman" w:cs="Arial"/>
          <w:snapToGrid w:val="0"/>
          <w:lang w:val="en-US" w:eastAsia="de-DE"/>
        </w:rPr>
      </w:pPr>
      <w:r w:rsidRPr="00480533">
        <w:rPr>
          <w:rFonts w:eastAsia="Times New Roman" w:cs="Arial"/>
          <w:snapToGrid w:val="0"/>
          <w:lang w:val="en-US" w:eastAsia="de-DE"/>
        </w:rPr>
        <w:t>WIRTGEN GmbH</w:t>
      </w:r>
    </w:p>
    <w:p w:rsidR="00480533" w:rsidRPr="00480533" w:rsidRDefault="00480533" w:rsidP="00480533">
      <w:pPr>
        <w:rPr>
          <w:rFonts w:eastAsia="Times New Roman" w:cs="Arial"/>
          <w:snapToGrid w:val="0"/>
          <w:lang w:val="en-US" w:eastAsia="de-DE"/>
        </w:rPr>
      </w:pPr>
      <w:r w:rsidRPr="00480533">
        <w:rPr>
          <w:rFonts w:eastAsia="Times New Roman" w:cs="Arial"/>
          <w:snapToGrid w:val="0"/>
          <w:lang w:val="en-US" w:eastAsia="de-DE"/>
        </w:rPr>
        <w:t>Corporate Communications</w:t>
      </w:r>
    </w:p>
    <w:p w:rsidR="00480533" w:rsidRPr="00480533" w:rsidRDefault="00480533" w:rsidP="00480533">
      <w:pPr>
        <w:rPr>
          <w:rFonts w:eastAsia="Times New Roman" w:cs="Arial"/>
          <w:snapToGrid w:val="0"/>
          <w:lang w:val="en-US" w:eastAsia="de-DE"/>
        </w:rPr>
      </w:pPr>
      <w:r w:rsidRPr="00480533">
        <w:rPr>
          <w:rFonts w:eastAsia="Times New Roman" w:cs="Arial"/>
          <w:snapToGrid w:val="0"/>
          <w:lang w:val="en-US" w:eastAsia="de-DE"/>
        </w:rPr>
        <w:t xml:space="preserve">Michaela Adams, Mario </w:t>
      </w:r>
      <w:proofErr w:type="spellStart"/>
      <w:r w:rsidRPr="00480533">
        <w:rPr>
          <w:rFonts w:eastAsia="Times New Roman" w:cs="Arial"/>
          <w:snapToGrid w:val="0"/>
          <w:lang w:val="en-US" w:eastAsia="de-DE"/>
        </w:rPr>
        <w:t>Linnemann</w:t>
      </w:r>
      <w:proofErr w:type="spellEnd"/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r w:rsidRPr="00480533">
        <w:rPr>
          <w:rFonts w:eastAsia="Times New Roman" w:cs="Arial"/>
          <w:snapToGrid w:val="0"/>
          <w:lang w:eastAsia="de-DE"/>
        </w:rPr>
        <w:t>Reinhard-Wirtgen-</w:t>
      </w:r>
      <w:proofErr w:type="spellStart"/>
      <w:r w:rsidRPr="00480533">
        <w:rPr>
          <w:rFonts w:eastAsia="Times New Roman" w:cs="Arial"/>
          <w:snapToGrid w:val="0"/>
          <w:lang w:eastAsia="de-DE"/>
        </w:rPr>
        <w:t>Strasse</w:t>
      </w:r>
      <w:proofErr w:type="spellEnd"/>
      <w:r w:rsidRPr="00480533">
        <w:rPr>
          <w:rFonts w:eastAsia="Times New Roman" w:cs="Arial"/>
          <w:snapToGrid w:val="0"/>
          <w:lang w:eastAsia="de-DE"/>
        </w:rPr>
        <w:t xml:space="preserve"> 2</w:t>
      </w:r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r w:rsidRPr="00480533">
        <w:rPr>
          <w:rFonts w:eastAsia="Times New Roman" w:cs="Arial"/>
          <w:snapToGrid w:val="0"/>
          <w:lang w:eastAsia="de-DE"/>
        </w:rPr>
        <w:t xml:space="preserve">53578 </w:t>
      </w:r>
      <w:proofErr w:type="spellStart"/>
      <w:r w:rsidRPr="00480533">
        <w:rPr>
          <w:rFonts w:eastAsia="Times New Roman" w:cs="Arial"/>
          <w:snapToGrid w:val="0"/>
          <w:lang w:eastAsia="de-DE"/>
        </w:rPr>
        <w:t>Windhagen</w:t>
      </w:r>
      <w:proofErr w:type="spellEnd"/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r w:rsidRPr="00480533">
        <w:rPr>
          <w:rFonts w:eastAsia="Times New Roman" w:cs="Arial"/>
          <w:snapToGrid w:val="0"/>
          <w:lang w:eastAsia="de-DE"/>
        </w:rPr>
        <w:t>Deutschland</w:t>
      </w:r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r w:rsidRPr="00480533">
        <w:rPr>
          <w:rFonts w:eastAsia="Times New Roman" w:cs="Arial"/>
          <w:snapToGrid w:val="0"/>
          <w:lang w:eastAsia="de-DE"/>
        </w:rPr>
        <w:t>Telefon: +49 (0) 2645 131 – 0</w:t>
      </w:r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r w:rsidRPr="00480533">
        <w:rPr>
          <w:rFonts w:eastAsia="Times New Roman" w:cs="Arial"/>
          <w:snapToGrid w:val="0"/>
          <w:lang w:eastAsia="de-DE"/>
        </w:rPr>
        <w:t>Telefax: +49 (0) 2645 131 – 499</w:t>
      </w:r>
    </w:p>
    <w:p w:rsidR="00480533" w:rsidRPr="00480533" w:rsidRDefault="00480533" w:rsidP="00480533">
      <w:pPr>
        <w:rPr>
          <w:rFonts w:eastAsia="Times New Roman" w:cs="Arial"/>
          <w:snapToGrid w:val="0"/>
          <w:lang w:eastAsia="de-DE"/>
        </w:rPr>
      </w:pPr>
      <w:proofErr w:type="spellStart"/>
      <w:r w:rsidRPr="00480533">
        <w:rPr>
          <w:rFonts w:eastAsia="Times New Roman" w:cs="Arial"/>
          <w:snapToGrid w:val="0"/>
          <w:lang w:eastAsia="de-DE"/>
        </w:rPr>
        <w:t>e-mail</w:t>
      </w:r>
      <w:proofErr w:type="spellEnd"/>
      <w:r w:rsidRPr="00480533">
        <w:rPr>
          <w:rFonts w:eastAsia="Times New Roman" w:cs="Arial"/>
          <w:snapToGrid w:val="0"/>
          <w:lang w:eastAsia="de-DE"/>
        </w:rPr>
        <w:t xml:space="preserve">: </w:t>
      </w:r>
      <w:proofErr w:type="spellStart"/>
      <w:r w:rsidRPr="00480533">
        <w:rPr>
          <w:rFonts w:eastAsia="Times New Roman" w:cs="Arial"/>
          <w:snapToGrid w:val="0"/>
          <w:lang w:eastAsia="de-DE"/>
        </w:rPr>
        <w:t>presse@wirtgen.com</w:t>
      </w:r>
      <w:proofErr w:type="spellEnd"/>
    </w:p>
    <w:p w:rsidR="00D86B0B" w:rsidRPr="007E7976" w:rsidRDefault="00480533" w:rsidP="00480533">
      <w:pPr>
        <w:rPr>
          <w:lang w:val="ru-RU"/>
        </w:rPr>
        <w:sectPr w:rsidR="00D86B0B" w:rsidRPr="007E7976" w:rsidSect="00BF54E8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  <w:proofErr w:type="spellStart"/>
      <w:r w:rsidRPr="00480533">
        <w:rPr>
          <w:rFonts w:eastAsia="Times New Roman" w:cs="Arial"/>
          <w:snapToGrid w:val="0"/>
          <w:lang w:eastAsia="de-DE"/>
        </w:rPr>
        <w:t>www.wirtgen.com</w:t>
      </w:r>
      <w:proofErr w:type="spellEnd"/>
    </w:p>
    <w:p w:rsidR="00D86B0B" w:rsidRPr="007E7976" w:rsidRDefault="00D86B0B" w:rsidP="000D0AE3">
      <w:pPr>
        <w:rPr>
          <w:lang w:val="ru-RU"/>
        </w:rPr>
      </w:pPr>
    </w:p>
    <w:sectPr w:rsidR="00D86B0B" w:rsidRPr="007E7976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72AE" w:rsidRDefault="00D972AE" w:rsidP="00BF54E8">
      <w:r>
        <w:separator/>
      </w:r>
    </w:p>
    <w:p w:rsidR="00D972AE" w:rsidRDefault="00D972AE" w:rsidP="00BF54E8"/>
  </w:endnote>
  <w:endnote w:type="continuationSeparator" w:id="0">
    <w:p w:rsidR="00D972AE" w:rsidRDefault="00D972AE" w:rsidP="00BF54E8">
      <w:r>
        <w:continuationSeparator/>
      </w:r>
    </w:p>
    <w:p w:rsidR="00D972AE" w:rsidRDefault="00D972AE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45 Helvetica Light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EB0F0A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480533">
      <w:rPr>
        <w:noProof/>
      </w:rPr>
      <w:t>3</w:t>
    </w:r>
    <w:r>
      <w:fldChar w:fldCharType="end"/>
    </w:r>
    <w:r w:rsidR="000D0AE3">
      <w:rPr>
        <w:noProof/>
        <w:sz w:val="16"/>
        <w:szCs w:val="16"/>
        <w:lang w:eastAsia="de-DE"/>
      </w:rPr>
      <w:drawing>
        <wp:anchor distT="0" distB="0" distL="114300" distR="114300" simplePos="0" relativeHeight="251657216" behindDoc="0" locked="1" layoutInCell="1" allowOverlap="1" wp14:anchorId="60A6A8FA" wp14:editId="74AD646C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10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72AE" w:rsidRDefault="00D972AE" w:rsidP="00BF54E8">
      <w:r>
        <w:separator/>
      </w:r>
    </w:p>
    <w:p w:rsidR="00D972AE" w:rsidRDefault="00D972AE" w:rsidP="00BF54E8"/>
  </w:footnote>
  <w:footnote w:type="continuationSeparator" w:id="0">
    <w:p w:rsidR="00D972AE" w:rsidRDefault="00D972AE" w:rsidP="00BF54E8">
      <w:r>
        <w:continuationSeparator/>
      </w:r>
    </w:p>
    <w:p w:rsidR="00D972AE" w:rsidRDefault="00D972AE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0" locked="1" layoutInCell="1" allowOverlap="1" wp14:anchorId="7605B774" wp14:editId="545BCBCF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9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924"/>
    <w:rsid w:val="00066A8A"/>
    <w:rsid w:val="0007588A"/>
    <w:rsid w:val="000D0AE3"/>
    <w:rsid w:val="000D1E00"/>
    <w:rsid w:val="0012016C"/>
    <w:rsid w:val="00127DE7"/>
    <w:rsid w:val="00162185"/>
    <w:rsid w:val="001963CF"/>
    <w:rsid w:val="001D090A"/>
    <w:rsid w:val="001E566E"/>
    <w:rsid w:val="001F0073"/>
    <w:rsid w:val="00203F3C"/>
    <w:rsid w:val="002044E1"/>
    <w:rsid w:val="002046CB"/>
    <w:rsid w:val="002508A2"/>
    <w:rsid w:val="00250FED"/>
    <w:rsid w:val="00254DA4"/>
    <w:rsid w:val="002661A1"/>
    <w:rsid w:val="0026735B"/>
    <w:rsid w:val="002737B0"/>
    <w:rsid w:val="0028321D"/>
    <w:rsid w:val="003210E6"/>
    <w:rsid w:val="00332772"/>
    <w:rsid w:val="003374DE"/>
    <w:rsid w:val="003461FD"/>
    <w:rsid w:val="00381C3F"/>
    <w:rsid w:val="003B2BE6"/>
    <w:rsid w:val="003D77BD"/>
    <w:rsid w:val="003E65BE"/>
    <w:rsid w:val="00400371"/>
    <w:rsid w:val="00406CA0"/>
    <w:rsid w:val="00470BBF"/>
    <w:rsid w:val="00480533"/>
    <w:rsid w:val="00491C3C"/>
    <w:rsid w:val="00525BFA"/>
    <w:rsid w:val="00567994"/>
    <w:rsid w:val="005C5964"/>
    <w:rsid w:val="005F1786"/>
    <w:rsid w:val="005F19BC"/>
    <w:rsid w:val="00620D33"/>
    <w:rsid w:val="00640D1E"/>
    <w:rsid w:val="006540C6"/>
    <w:rsid w:val="006F0BB2"/>
    <w:rsid w:val="006F2EC4"/>
    <w:rsid w:val="0070228C"/>
    <w:rsid w:val="00714D99"/>
    <w:rsid w:val="0071632A"/>
    <w:rsid w:val="00756C0B"/>
    <w:rsid w:val="007E7976"/>
    <w:rsid w:val="0081201E"/>
    <w:rsid w:val="00867532"/>
    <w:rsid w:val="008731DB"/>
    <w:rsid w:val="008A31D3"/>
    <w:rsid w:val="008B5019"/>
    <w:rsid w:val="008D0BDF"/>
    <w:rsid w:val="008E22B7"/>
    <w:rsid w:val="008E6E18"/>
    <w:rsid w:val="00901E78"/>
    <w:rsid w:val="00903EF6"/>
    <w:rsid w:val="00953352"/>
    <w:rsid w:val="00966AD9"/>
    <w:rsid w:val="00972E2F"/>
    <w:rsid w:val="009825CE"/>
    <w:rsid w:val="009E33BD"/>
    <w:rsid w:val="009E6E08"/>
    <w:rsid w:val="00A60D31"/>
    <w:rsid w:val="00A726FC"/>
    <w:rsid w:val="00A844C7"/>
    <w:rsid w:val="00AB6863"/>
    <w:rsid w:val="00AD0793"/>
    <w:rsid w:val="00AD1342"/>
    <w:rsid w:val="00B0786D"/>
    <w:rsid w:val="00B46AFC"/>
    <w:rsid w:val="00B6168A"/>
    <w:rsid w:val="00BB0A78"/>
    <w:rsid w:val="00BE470C"/>
    <w:rsid w:val="00BF54E8"/>
    <w:rsid w:val="00C13DB7"/>
    <w:rsid w:val="00C213A4"/>
    <w:rsid w:val="00C46710"/>
    <w:rsid w:val="00C630FA"/>
    <w:rsid w:val="00C97CC2"/>
    <w:rsid w:val="00D36C88"/>
    <w:rsid w:val="00D44C3A"/>
    <w:rsid w:val="00D86B0B"/>
    <w:rsid w:val="00D972AE"/>
    <w:rsid w:val="00DD2322"/>
    <w:rsid w:val="00DF3924"/>
    <w:rsid w:val="00E23BDC"/>
    <w:rsid w:val="00E72C4B"/>
    <w:rsid w:val="00E91E56"/>
    <w:rsid w:val="00EB0F0A"/>
    <w:rsid w:val="00F729D0"/>
    <w:rsid w:val="00FA6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0818459-51CA-4330-87CE-C587E6E71D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987</Words>
  <Characters>6225</Characters>
  <Application>Microsoft Office Word</Application>
  <DocSecurity>0</DocSecurity>
  <Lines>51</Lines>
  <Paragraphs>14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7198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2016-03-17T20:34:00Z</cp:lastPrinted>
  <dcterms:created xsi:type="dcterms:W3CDTF">2016-03-21T08:15:00Z</dcterms:created>
  <dcterms:modified xsi:type="dcterms:W3CDTF">2016-03-21T08:15:00Z</dcterms:modified>
</cp:coreProperties>
</file>